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BOLETÍN 2 – MOE FUNDACIÓN JUBILEO</w:t>
      </w:r>
    </w:p>
    <w:p w:rsidR="00000000" w:rsidDel="00000000" w:rsidP="00000000" w:rsidRDefault="00000000" w:rsidRPr="00000000" w14:paraId="00000002">
      <w:pPr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Elecciones Subnacionales 2026</w:t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Montserrat" w:cs="Montserrat" w:eastAsia="Montserrat" w:hAnsi="Montserrat"/>
          <w:b w:val="1"/>
          <w:bCs w:val="1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36"/>
          <w:szCs w:val="36"/>
          <w:rtl w:val="0"/>
        </w:rPr>
        <w:t xml:space="preserve">Jornada electoral se desarrolla de manera pacífica y con incidentes aislados</w:t>
      </w:r>
    </w:p>
    <w:p w:rsidR="00000000" w:rsidDel="00000000" w:rsidP="00000000" w:rsidRDefault="00000000" w:rsidRPr="00000000" w14:paraId="00000005">
      <w:pPr>
        <w:spacing w:before="200" w:lineRule="auto"/>
        <w:jc w:val="righ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La Paz, 22 de marzo de 2026.-</w:t>
      </w:r>
    </w:p>
    <w:p w:rsidR="00000000" w:rsidDel="00000000" w:rsidP="00000000" w:rsidRDefault="00000000" w:rsidRPr="00000000" w14:paraId="00000006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La Misión de Observación Electoral (MOE) de la Fundación Jubileo informa que la jornada de votación se ha desarrollado de manera pacífica, con incidentes aislados en los recintos observados a nivel nacional.</w:t>
      </w:r>
    </w:p>
    <w:p w:rsidR="00000000" w:rsidDel="00000000" w:rsidP="00000000" w:rsidRDefault="00000000" w:rsidRPr="00000000" w14:paraId="00000007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Durante el día se observó un flujo de votación variable, con alta afluencia en la mañana y mediodía. En general, las mesas funcionaron con normalidad, una vez superados los retrasos iniciales.</w:t>
      </w:r>
    </w:p>
    <w:p w:rsidR="00000000" w:rsidDel="00000000" w:rsidP="00000000" w:rsidRDefault="00000000" w:rsidRPr="00000000" w14:paraId="00000008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El hecho más relevante se registró en el municipio de Exaltación (Beni), donde la Sala Plena del Tribunal Electoral Departamental decidió suspender la votación debido a la falta de garantías, en medio de disturbios en el recinto Max Fernández Rojas, con 955 electores habilitados. El TED informó que el personal electoral se replegará y que el material se encuentra bajo resguardo, señalando que este fue el único punto crítico en el departamento. La MOE considera necesario que el TSE y el TED de Beni aclaren posteriormente lo ocurrido para preservar la confianza en el proceso.</w:t>
      </w:r>
    </w:p>
    <w:p w:rsidR="00000000" w:rsidDel="00000000" w:rsidP="00000000" w:rsidRDefault="00000000" w:rsidRPr="00000000" w14:paraId="00000009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Asimismo, en el municipio de San Ignacio de Velasco (Santa Cruz), se reportó la suspensión de la votación departamental en varias mesas debido a la distribución de papeletas que no correspondían a esta provincia, mientras que la votación municipal continuó con normalidad.</w:t>
      </w:r>
    </w:p>
    <w:p w:rsidR="00000000" w:rsidDel="00000000" w:rsidP="00000000" w:rsidRDefault="00000000" w:rsidRPr="00000000" w14:paraId="0000000A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Uno de los temas persistentes fue la reposición de jurados con electores de las filas, especialmente en La Paz, Tarija y Potosí, junto con la resistencia de algunos ciudadanos a asumir esta función, lo que incidió en retrasos en la apertura de mesas.</w:t>
      </w:r>
    </w:p>
    <w:p w:rsidR="00000000" w:rsidDel="00000000" w:rsidP="00000000" w:rsidRDefault="00000000" w:rsidRPr="00000000" w14:paraId="0000000B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Asimismo, se evidenciaron dificultades en el desempeño de algunos jurados, vinculadas a falta de capacitación y problemas organizativos, con errores en el manejo del material y omisiones en procedimientos, que derivaron en demoras en la apertura y desarrollo de la votación.</w:t>
      </w:r>
    </w:p>
    <w:p w:rsidR="00000000" w:rsidDel="00000000" w:rsidP="00000000" w:rsidRDefault="00000000" w:rsidRPr="00000000" w14:paraId="0000000C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Las observaciones en campo muestran una jornada marcada por alta participación y filas extensas, especialmente en Beni, Chuquisaca, La Paz, Potosí, Santa Cruz y Tarija, asociadas tanto a la afluencia como a demoras en la atención. Factores como la lluvia incidieron en el ritmo de votación. </w:t>
      </w:r>
    </w:p>
    <w:p w:rsidR="00000000" w:rsidDel="00000000" w:rsidP="00000000" w:rsidRDefault="00000000" w:rsidRPr="00000000" w14:paraId="0000000D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También se registraron problemas organizativos e irregularidades aisladas, como dificultades en el voto asistido, actos de proselitismo, confusión en la organización de mesas y deficiencias en la atención a grupos vulnerables. </w:t>
      </w:r>
    </w:p>
    <w:p w:rsidR="00000000" w:rsidDel="00000000" w:rsidP="00000000" w:rsidRDefault="00000000" w:rsidRPr="00000000" w14:paraId="0000000E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En Chuquisaca se reportaron casos de voto indebido con credencial e intentos de sufragio sin cédula. En Santa Cruz se identificaron mesas que no abrieron por falta de material en algunos recintos.</w:t>
      </w:r>
    </w:p>
    <w:p w:rsidR="00000000" w:rsidDel="00000000" w:rsidP="00000000" w:rsidRDefault="00000000" w:rsidRPr="00000000" w14:paraId="0000000F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Hacia el cierre de mesas, en recintos de alta concentración se observaron colas extensas y congestión, producto de la asistencia tardía de electores, cambios de mesas por lluvias, falta de jurados y limitaciones en su desempeño.</w:t>
      </w:r>
    </w:p>
    <w:p w:rsidR="00000000" w:rsidDel="00000000" w:rsidP="00000000" w:rsidRDefault="00000000" w:rsidRPr="00000000" w14:paraId="00000010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El monitoreo de medios evidencia un desarrollo mayoritariamente normal con diferencias territoriales. En La Paz, Cochabamba y Tarija se registraron retrasos por ausencia de jurados y lluvias; en Chuquisaca hubo algunos casos de mesas con apertura demorada; en Santa Cruz la jornada transcurrió con conflictos aislados; en Oruro, Potosí y Pando se reportó un desarrollo tranquilo. En Beni se concentraron los principales hechos de tensión por los sucesos en el municipio de Exaltación.</w:t>
      </w:r>
    </w:p>
    <w:p w:rsidR="00000000" w:rsidDel="00000000" w:rsidP="00000000" w:rsidRDefault="00000000" w:rsidRPr="00000000" w14:paraId="00000011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De acuerdo con los monitores en los TED, la jornada se mantuvo estable, sin incrementos significativos de incidentes, con mejora en la capacidad de respuesta institucional y avances en la preparación del escrutinio y el SIREPRE. </w:t>
      </w:r>
    </w:p>
    <w:p w:rsidR="00000000" w:rsidDel="00000000" w:rsidP="00000000" w:rsidRDefault="00000000" w:rsidRPr="00000000" w14:paraId="00000012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En relación con el cierre de mesas, la información disponible hasta las 16:43 muestra avances diferenciados entre departamentos: se reportan 2.275 mesas cerradas en Santa Cruz, 850 en Potosí, 394 en Beni y 1 en Pando (penitenciaría de Villa Busch). En otros departamentos no se cuenta con datos consolidados o no fueron proporcionados, como en Chuquisaca, Tarija, Oruro y La Paz, mientras que en Cochabamba se indicó que la información no fue habilitada.</w:t>
      </w:r>
    </w:p>
    <w:p w:rsidR="00000000" w:rsidDel="00000000" w:rsidP="00000000" w:rsidRDefault="00000000" w:rsidRPr="00000000" w14:paraId="00000013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En distintos recintos se ha iniciado el cierre de mesas y el escrutinio, que se desarrolla con normalidad y observaciones puntuales. La MOE realiza seguimiento a la transmisión de resultados preliminares.</w:t>
      </w:r>
    </w:p>
    <w:p w:rsidR="00000000" w:rsidDel="00000000" w:rsidP="00000000" w:rsidRDefault="00000000" w:rsidRPr="00000000" w14:paraId="00000014">
      <w:pPr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La Misión reitera la importancia de respetar el conteo de votos y evitar la difusión de información no verificada. La MOE continuará su labor de observación y emitirá un nuevo reporte en horas de la noche.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rPr/>
    </w:pPr>
    <w:r w:rsidDel="00000000" w:rsidR="00000000" w:rsidRPr="00000000">
      <w:rPr/>
      <w:drawing>
        <wp:inline distB="114300" distT="114300" distL="114300" distR="114300">
          <wp:extent cx="901212" cy="507683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01212" cy="50768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4886325</wp:posOffset>
          </wp:positionH>
          <wp:positionV relativeFrom="paragraph">
            <wp:posOffset>-152398</wp:posOffset>
          </wp:positionV>
          <wp:extent cx="1157288" cy="587927"/>
          <wp:effectExtent b="0" l="0" r="0" t="0"/>
          <wp:wrapSquare wrapText="bothSides" distB="114300" distT="114300" distL="114300" distR="114300"/>
          <wp:docPr id="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28359" l="0" r="0" t="20749"/>
                  <a:stretch>
                    <a:fillRect/>
                  </a:stretch>
                </pic:blipFill>
                <pic:spPr>
                  <a:xfrm>
                    <a:off x="0" y="0"/>
                    <a:ext cx="1157288" cy="58792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s-BO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FB5FE4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FB5FE4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FB5FE4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FB5FE4"/>
    <w:rPr>
      <w:rFonts w:asciiTheme="majorHAnsi" w:cstheme="majorBidi" w:eastAsiaTheme="majorEastAsia" w:hAnsiTheme="majorHAnsi"/>
      <w:color w:val="2f5496" w:themeColor="accent1" w:themeShade="0000BF"/>
      <w:sz w:val="40"/>
      <w:szCs w:val="40"/>
      <w:lang w:val="es-BO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FB5FE4"/>
    <w:rPr>
      <w:rFonts w:asciiTheme="majorHAnsi" w:cstheme="majorBidi" w:eastAsiaTheme="majorEastAsia" w:hAnsiTheme="majorHAnsi"/>
      <w:color w:val="2f5496" w:themeColor="accent1" w:themeShade="0000BF"/>
      <w:sz w:val="32"/>
      <w:szCs w:val="32"/>
      <w:lang w:val="es-BO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FB5FE4"/>
    <w:rPr>
      <w:rFonts w:cstheme="majorBidi" w:eastAsiaTheme="majorEastAsia"/>
      <w:color w:val="2f5496" w:themeColor="accent1" w:themeShade="0000BF"/>
      <w:sz w:val="28"/>
      <w:szCs w:val="28"/>
      <w:lang w:val="es-BO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FB5FE4"/>
    <w:rPr>
      <w:rFonts w:cstheme="majorBidi" w:eastAsiaTheme="majorEastAsia"/>
      <w:i w:val="1"/>
      <w:iCs w:val="1"/>
      <w:color w:val="2f5496" w:themeColor="accent1" w:themeShade="0000BF"/>
      <w:lang w:val="es-BO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FB5FE4"/>
    <w:rPr>
      <w:rFonts w:cstheme="majorBidi" w:eastAsiaTheme="majorEastAsia"/>
      <w:color w:val="2f5496" w:themeColor="accent1" w:themeShade="0000BF"/>
      <w:lang w:val="es-BO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FB5FE4"/>
    <w:rPr>
      <w:rFonts w:cstheme="majorBidi" w:eastAsiaTheme="majorEastAsia"/>
      <w:i w:val="1"/>
      <w:iCs w:val="1"/>
      <w:color w:val="595959" w:themeColor="text1" w:themeTint="0000A6"/>
      <w:lang w:val="es-BO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FB5FE4"/>
    <w:rPr>
      <w:rFonts w:cstheme="majorBidi" w:eastAsiaTheme="majorEastAsia"/>
      <w:color w:val="595959" w:themeColor="text1" w:themeTint="0000A6"/>
      <w:lang w:val="es-BO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FB5FE4"/>
    <w:rPr>
      <w:rFonts w:cstheme="majorBidi" w:eastAsiaTheme="majorEastAsia"/>
      <w:i w:val="1"/>
      <w:iCs w:val="1"/>
      <w:color w:val="272727" w:themeColor="text1" w:themeTint="0000D8"/>
      <w:lang w:val="es-BO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FB5FE4"/>
    <w:rPr>
      <w:rFonts w:cstheme="majorBidi" w:eastAsiaTheme="majorEastAsia"/>
      <w:color w:val="272727" w:themeColor="text1" w:themeTint="0000D8"/>
      <w:lang w:val="es-BO"/>
    </w:rPr>
  </w:style>
  <w:style w:type="character" w:styleId="TtuloCar" w:customStyle="1">
    <w:name w:val="Título Car"/>
    <w:basedOn w:val="Fuentedeprrafopredeter"/>
    <w:link w:val="Ttulo"/>
    <w:uiPriority w:val="10"/>
    <w:rsid w:val="00FB5FE4"/>
    <w:rPr>
      <w:rFonts w:asciiTheme="majorHAnsi" w:cstheme="majorBidi" w:eastAsiaTheme="majorEastAsia" w:hAnsiTheme="majorHAnsi"/>
      <w:spacing w:val="-10"/>
      <w:kern w:val="28"/>
      <w:sz w:val="56"/>
      <w:szCs w:val="56"/>
      <w:lang w:val="es-BO"/>
    </w:rPr>
  </w:style>
  <w:style w:type="character" w:styleId="SubttuloCar" w:customStyle="1">
    <w:name w:val="Subtítulo Car"/>
    <w:basedOn w:val="Fuentedeprrafopredeter"/>
    <w:link w:val="Subttulo"/>
    <w:uiPriority w:val="11"/>
    <w:rsid w:val="00FB5FE4"/>
    <w:rPr>
      <w:rFonts w:cstheme="majorBidi" w:eastAsiaTheme="majorEastAsia"/>
      <w:color w:val="595959" w:themeColor="text1" w:themeTint="0000A6"/>
      <w:spacing w:val="15"/>
      <w:sz w:val="28"/>
      <w:szCs w:val="28"/>
      <w:lang w:val="es-BO"/>
    </w:rPr>
  </w:style>
  <w:style w:type="paragraph" w:styleId="Cita">
    <w:name w:val="Quote"/>
    <w:basedOn w:val="Normal"/>
    <w:next w:val="Normal"/>
    <w:link w:val="CitaCar"/>
    <w:uiPriority w:val="29"/>
    <w:qFormat w:val="1"/>
    <w:rsid w:val="00FB5FE4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Car" w:customStyle="1">
    <w:name w:val="Cita Car"/>
    <w:basedOn w:val="Fuentedeprrafopredeter"/>
    <w:link w:val="Cita"/>
    <w:uiPriority w:val="29"/>
    <w:rsid w:val="00FB5FE4"/>
    <w:rPr>
      <w:i w:val="1"/>
      <w:iCs w:val="1"/>
      <w:color w:val="404040" w:themeColor="text1" w:themeTint="0000BF"/>
      <w:lang w:val="es-BO"/>
    </w:rPr>
  </w:style>
  <w:style w:type="paragraph" w:styleId="Prrafodelista">
    <w:name w:val="List Paragraph"/>
    <w:basedOn w:val="Normal"/>
    <w:uiPriority w:val="34"/>
    <w:qFormat w:val="1"/>
    <w:rsid w:val="00FB5FE4"/>
    <w:pPr>
      <w:ind w:left="720"/>
      <w:contextualSpacing w:val="1"/>
    </w:pPr>
  </w:style>
  <w:style w:type="character" w:styleId="nfasisintenso">
    <w:name w:val="Intense Emphasis"/>
    <w:basedOn w:val="Fuentedeprrafopredeter"/>
    <w:uiPriority w:val="21"/>
    <w:qFormat w:val="1"/>
    <w:rsid w:val="00FB5FE4"/>
    <w:rPr>
      <w:i w:val="1"/>
      <w:iCs w:val="1"/>
      <w:color w:val="2f5496" w:themeColor="accent1" w:themeShade="0000BF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FB5FE4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FB5FE4"/>
    <w:rPr>
      <w:i w:val="1"/>
      <w:iCs w:val="1"/>
      <w:color w:val="2f5496" w:themeColor="accent1" w:themeShade="0000BF"/>
      <w:lang w:val="es-BO"/>
    </w:rPr>
  </w:style>
  <w:style w:type="character" w:styleId="Referenciaintensa">
    <w:name w:val="Intense Reference"/>
    <w:basedOn w:val="Fuentedeprrafopredeter"/>
    <w:uiPriority w:val="32"/>
    <w:qFormat w:val="1"/>
    <w:rsid w:val="00FB5FE4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CoWVxc5YIacNoMLrEYMCuk84JA==">CgMxLjA4AHIhMWh6aHYzVHlNOUZjRmVWVGdERTd1V3NSNUNyOUwtQkJP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2026-03-22T13:47:00Z</dcterms:created>
  <dc:creator>sandra verduguez guzmán</dc:creator>
</cp:coreProperties>
</file>